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5E2512" w14:textId="77777777" w:rsidR="00537D90" w:rsidRDefault="00000000">
      <w:pPr>
        <w:pStyle w:val="Untertitel"/>
      </w:pPr>
      <w:bookmarkStart w:id="0" w:name="_heading=h.30j0zll" w:colFirst="0" w:colLast="0"/>
      <w:bookmarkEnd w:id="0"/>
      <w:r>
        <w:t>Pressemitteilung</w:t>
      </w:r>
    </w:p>
    <w:p w14:paraId="64E1D71B" w14:textId="77777777" w:rsidR="00537D90" w:rsidRDefault="00000000">
      <w:pPr>
        <w:pStyle w:val="Titel"/>
        <w:keepNext w:val="0"/>
        <w:keepLines w:val="0"/>
        <w:shd w:val="clear" w:color="auto" w:fill="FFFFFF"/>
        <w:spacing w:before="280"/>
        <w:rPr>
          <w:sz w:val="38"/>
          <w:szCs w:val="38"/>
        </w:rPr>
      </w:pPr>
      <w:bookmarkStart w:id="1" w:name="_heading=h.wtsdzw8clxnq" w:colFirst="0" w:colLast="0"/>
      <w:bookmarkEnd w:id="1"/>
      <w:r>
        <w:rPr>
          <w:sz w:val="38"/>
          <w:szCs w:val="38"/>
        </w:rPr>
        <w:t>Green Fusion optimiert 2025 den Betrieb von 3.000 Heizungsanlagen und widmet regenerativen Energiesystemen eigene Abteilung</w:t>
      </w:r>
    </w:p>
    <w:p w14:paraId="47060E36" w14:textId="77777777" w:rsidR="00537D90" w:rsidRDefault="00537D90">
      <w:pPr>
        <w:shd w:val="clear" w:color="auto" w:fill="FFFFFF"/>
        <w:spacing w:after="0"/>
        <w:rPr>
          <w:b/>
        </w:rPr>
      </w:pPr>
    </w:p>
    <w:p w14:paraId="4E5C1192" w14:textId="77777777" w:rsidR="00537D90" w:rsidRDefault="00000000">
      <w:pPr>
        <w:shd w:val="clear" w:color="auto" w:fill="FFFFFF"/>
        <w:spacing w:after="0"/>
        <w:rPr>
          <w:b/>
        </w:rPr>
      </w:pPr>
      <w:r>
        <w:rPr>
          <w:b/>
          <w:noProof/>
        </w:rPr>
        <w:drawing>
          <wp:inline distT="114300" distB="114300" distL="114300" distR="114300" wp14:anchorId="44CBFAF4" wp14:editId="32951055">
            <wp:extent cx="3900488" cy="2598064"/>
            <wp:effectExtent l="0" t="0" r="0" b="5715"/>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cstate="email">
                      <a:extLst>
                        <a:ext uri="{28A0092B-C50C-407E-A947-70E740481C1C}">
                          <a14:useLocalDpi xmlns:a14="http://schemas.microsoft.com/office/drawing/2010/main"/>
                        </a:ext>
                      </a:extLst>
                    </a:blip>
                    <a:srcRect/>
                    <a:stretch>
                      <a:fillRect/>
                    </a:stretch>
                  </pic:blipFill>
                  <pic:spPr>
                    <a:xfrm>
                      <a:off x="0" y="0"/>
                      <a:ext cx="3900488" cy="2598064"/>
                    </a:xfrm>
                    <a:prstGeom prst="rect">
                      <a:avLst/>
                    </a:prstGeom>
                    <a:ln/>
                  </pic:spPr>
                </pic:pic>
              </a:graphicData>
            </a:graphic>
          </wp:inline>
        </w:drawing>
      </w:r>
    </w:p>
    <w:p w14:paraId="3D1AF3B8" w14:textId="77777777" w:rsidR="00537D90" w:rsidRDefault="00537D90">
      <w:pPr>
        <w:shd w:val="clear" w:color="auto" w:fill="FFFFFF"/>
        <w:spacing w:after="0"/>
        <w:rPr>
          <w:b/>
        </w:rPr>
      </w:pPr>
    </w:p>
    <w:p w14:paraId="4E049FFA" w14:textId="77777777" w:rsidR="00537D90" w:rsidRDefault="00000000">
      <w:pPr>
        <w:shd w:val="clear" w:color="auto" w:fill="FFFFFF"/>
        <w:spacing w:after="0"/>
        <w:rPr>
          <w:b/>
        </w:rPr>
      </w:pPr>
      <w:r>
        <w:rPr>
          <w:b/>
        </w:rPr>
        <w:t xml:space="preserve">Green Fusion revolutioniert die Heizungsoptimierung in der Wohnungswirtschaft. Um im Zukunftsbereich der Sektorenkopplung noch besser aufgestellt zu sein, widmet das Unternehmen diesem Thema jetzt eine eigene Einheit. Unter anderem hierfür hat das Unternehmen jüngst 12 Millionen Euro Investitionskapital erhalten. </w:t>
      </w:r>
    </w:p>
    <w:p w14:paraId="227A1443" w14:textId="77777777" w:rsidR="00537D90" w:rsidRDefault="00537D90">
      <w:pPr>
        <w:shd w:val="clear" w:color="auto" w:fill="FFFFFF"/>
        <w:spacing w:after="0"/>
        <w:rPr>
          <w:b/>
          <w:color w:val="FF0000"/>
        </w:rPr>
      </w:pPr>
    </w:p>
    <w:p w14:paraId="40680B08" w14:textId="77777777" w:rsidR="00537D90" w:rsidRDefault="00000000">
      <w:pPr>
        <w:shd w:val="clear" w:color="auto" w:fill="FFFFFF"/>
        <w:spacing w:after="0"/>
      </w:pPr>
      <w:r>
        <w:rPr>
          <w:i/>
        </w:rPr>
        <w:t>Berlin, 21. Januar 2025</w:t>
      </w:r>
      <w:r>
        <w:t xml:space="preserve"> – Mit KI-Software optimiert Green Fusion Heizungsanlagen jeder Art und senkt Heizkosten sowie CO₂-Emissionen um durchschnittlich 16 %. 2025 setzt das Unternehmen noch stärker als bisher auf die Optimierung regenerativer Energiesysteme. </w:t>
      </w:r>
    </w:p>
    <w:p w14:paraId="727C10B0" w14:textId="77777777" w:rsidR="00537D90" w:rsidRDefault="00537D90">
      <w:pPr>
        <w:shd w:val="clear" w:color="auto" w:fill="FFFFFF"/>
        <w:spacing w:after="0"/>
      </w:pPr>
    </w:p>
    <w:p w14:paraId="1C992787" w14:textId="77777777" w:rsidR="00537D90" w:rsidRDefault="00000000">
      <w:pPr>
        <w:shd w:val="clear" w:color="auto" w:fill="FFFFFF"/>
        <w:spacing w:after="0"/>
      </w:pPr>
      <w:r>
        <w:t>Hierfür entsteht eine eigene Abteilung. Ziel ist es, das Zusammenspiel von Wärmepumpe, Photovoltaik und Elektromobilität mithilfe von KI-gestützter Software effizient zu steuern und zu betreiben. Der Aufbau der Abteilung geschieht parallel zur Planung, 3.000 Bestandsanlagen in Mehrfamilienhäusern zu optimieren – ein Wachstum von 300 % gegenüber 2024.</w:t>
      </w:r>
    </w:p>
    <w:p w14:paraId="3A8E15A0" w14:textId="77777777" w:rsidR="00537D90" w:rsidRDefault="00000000">
      <w:pPr>
        <w:shd w:val="clear" w:color="auto" w:fill="FFFFFF"/>
        <w:spacing w:before="240" w:after="240"/>
      </w:pPr>
      <w:r>
        <w:t xml:space="preserve">Paul Hock, Gründer und Geschäftsführer von Green Fusion, erklärt: „Durch die Wärmewende wird alles komplexer. Es gibt nicht mehr nur einen zentralen Wärmeerzeuger und Strom aus dem Netz. </w:t>
      </w:r>
      <w:r>
        <w:lastRenderedPageBreak/>
        <w:t>Mehrere Erzeuger und Verbraucher, aber auch unterschiedliche Hersteller innerhalb eines Gebäudes erfordern eine intelligente Steuerung.“</w:t>
      </w:r>
    </w:p>
    <w:p w14:paraId="77E05BB6" w14:textId="77777777" w:rsidR="00537D90" w:rsidRDefault="00000000">
      <w:pPr>
        <w:pStyle w:val="berschrift3"/>
        <w:keepNext w:val="0"/>
        <w:keepLines w:val="0"/>
        <w:shd w:val="clear" w:color="auto" w:fill="FFFFFF"/>
        <w:spacing w:before="280"/>
        <w:rPr>
          <w:b/>
          <w:sz w:val="22"/>
          <w:szCs w:val="22"/>
        </w:rPr>
      </w:pPr>
      <w:bookmarkStart w:id="2" w:name="_heading=h.qcrb38lozsqs" w:colFirst="0" w:colLast="0"/>
      <w:bookmarkEnd w:id="2"/>
      <w:r>
        <w:rPr>
          <w:b/>
          <w:sz w:val="22"/>
          <w:szCs w:val="22"/>
        </w:rPr>
        <w:t>Von Viessmann bis Gewobag: Renommierte Partner und Kunden setzen auf Green Fusion</w:t>
      </w:r>
    </w:p>
    <w:p w14:paraId="752B44FB" w14:textId="77777777" w:rsidR="00537D90" w:rsidRDefault="00000000">
      <w:pPr>
        <w:shd w:val="clear" w:color="auto" w:fill="FFFFFF"/>
        <w:spacing w:before="240" w:after="240"/>
      </w:pPr>
      <w:r>
        <w:t>Mehr als 100 namhafte Wohnungsunternehmen und Genossenschaften wie Gewobag, Rheinwohnungsbau und der Spar- und Bauverein Dortmund nutzen bereits die intelligente Lösung von Green Fusion. Damit senken sie Heizkosten und CO₂-Emissionen und treiben die Wärmewende voran. Auch etablierte Anbieter wie Viessmann und Vodafone arbeiten mit Green Fusion zusammen.</w:t>
      </w:r>
    </w:p>
    <w:p w14:paraId="180258BB" w14:textId="77777777" w:rsidR="00537D90" w:rsidRDefault="00000000">
      <w:pPr>
        <w:pStyle w:val="berschrift3"/>
        <w:keepNext w:val="0"/>
        <w:keepLines w:val="0"/>
        <w:shd w:val="clear" w:color="auto" w:fill="FFFFFF"/>
        <w:spacing w:before="280"/>
        <w:rPr>
          <w:b/>
          <w:sz w:val="22"/>
          <w:szCs w:val="22"/>
        </w:rPr>
      </w:pPr>
      <w:bookmarkStart w:id="3" w:name="_heading=h.rdbxppjw0mfj" w:colFirst="0" w:colLast="0"/>
      <w:bookmarkEnd w:id="3"/>
      <w:r>
        <w:rPr>
          <w:b/>
          <w:sz w:val="22"/>
          <w:szCs w:val="22"/>
        </w:rPr>
        <w:t>Hardware, Installation, Software und KI: Alles aus einer Hand</w:t>
      </w:r>
    </w:p>
    <w:p w14:paraId="2D12C80A" w14:textId="77777777" w:rsidR="00537D90" w:rsidRDefault="00000000">
      <w:pPr>
        <w:shd w:val="clear" w:color="auto" w:fill="FFFFFF"/>
        <w:spacing w:before="240" w:after="240"/>
      </w:pPr>
      <w:r>
        <w:t>Die KI-gestützte Software von Green Fusion überwacht und analysiert den Betrieb der Heizungsanlagen, erkennt Einsparpotenziale und reduziert mit einer bedarfsgerechten Steuerung den Energieverbrauch. Sie unterstützt alle gängigen Anlagentypen – von Gasheizungen über Fernwärme bis hin zu modernen regenerativen Systemen mit Wärmepumpe, PV-Anlage und Ladeinfrastruktur.</w:t>
      </w:r>
    </w:p>
    <w:p w14:paraId="4490F3C3" w14:textId="77777777" w:rsidR="00537D90" w:rsidRDefault="00000000">
      <w:pPr>
        <w:shd w:val="clear" w:color="auto" w:fill="FFFFFF"/>
        <w:spacing w:before="240" w:after="240"/>
      </w:pPr>
      <w:r>
        <w:t>Im Schnitt kann der Energieverbrauch um 16 % reduziert werden. Ein Rechenbeispiel: Bei einem Wohnungsunternehmen mit 100 Heizungsanlagen ergibt sich eine jährliche Einsparung von über 233.000 Euro – nach Abzug aller Kosten für Installation und Software. Diese Ersparnis beinhaltet gesparte Heizkosten und CO</w:t>
      </w:r>
      <w:r>
        <w:rPr>
          <w:vertAlign w:val="subscript"/>
        </w:rPr>
        <w:t>2</w:t>
      </w:r>
      <w:r>
        <w:t>-Gebühren.</w:t>
      </w:r>
    </w:p>
    <w:p w14:paraId="07E4484D" w14:textId="77777777" w:rsidR="00537D90" w:rsidRDefault="00000000">
      <w:pPr>
        <w:shd w:val="clear" w:color="auto" w:fill="FFFFFF"/>
        <w:spacing w:before="240" w:after="240"/>
      </w:pPr>
      <w:r>
        <w:t>Neben der Software stellt Green Fusion auch die notwendige Hardware und Sensortechnik. Ein eigenes Installationsteam sorgt für den Einbau in den Heizungskellern.</w:t>
      </w:r>
    </w:p>
    <w:p w14:paraId="5BB657E3" w14:textId="77777777" w:rsidR="00537D90" w:rsidRDefault="00000000">
      <w:pPr>
        <w:pStyle w:val="berschrift3"/>
        <w:keepNext w:val="0"/>
        <w:keepLines w:val="0"/>
        <w:shd w:val="clear" w:color="auto" w:fill="FFFFFF"/>
        <w:spacing w:before="280"/>
        <w:rPr>
          <w:b/>
          <w:sz w:val="22"/>
          <w:szCs w:val="22"/>
        </w:rPr>
      </w:pPr>
      <w:bookmarkStart w:id="4" w:name="_heading=h.3gnpi345yhub" w:colFirst="0" w:colLast="0"/>
      <w:bookmarkEnd w:id="4"/>
      <w:r>
        <w:rPr>
          <w:b/>
          <w:sz w:val="22"/>
          <w:szCs w:val="22"/>
        </w:rPr>
        <w:t>Marktführer im Bereich Heizungsmonitoring und -optimierung</w:t>
      </w:r>
    </w:p>
    <w:p w14:paraId="7D5675DB" w14:textId="77777777" w:rsidR="00537D90" w:rsidRDefault="00000000">
      <w:pPr>
        <w:shd w:val="clear" w:color="auto" w:fill="FFFFFF"/>
        <w:spacing w:before="240" w:after="240"/>
      </w:pPr>
      <w:r>
        <w:t>Green Fusion ist laut einer aktuellen Umfrage des Branchenverbands GdW Marktführer im Bereich Heizungsmonitoring und -optimierung. Axel Gedaschko, Präsident des GdW, betont: „Den Energieverbrauch zu optimieren, ist ein wichtiger erster Schritt auf dem Weg zu den Klimazielen – noch vor dem Einbau von Wärmepumpen oder dem Umstieg auf Fernwärme und weiteren Energiesparmaßnahmen. Nur wenn der Pfad zur Erreichung der Klimaziele mit kostengünstigen, smarten Mitteln beschritten wird, können die Wohnungsunternehmen in Deutschland langfristig bezahlbaren Wohnraum bieten.“</w:t>
      </w:r>
    </w:p>
    <w:p w14:paraId="78F43CF4" w14:textId="77777777" w:rsidR="00537D90" w:rsidRDefault="00000000">
      <w:pPr>
        <w:pStyle w:val="berschrift3"/>
        <w:keepNext w:val="0"/>
        <w:keepLines w:val="0"/>
        <w:shd w:val="clear" w:color="auto" w:fill="FFFFFF"/>
        <w:spacing w:before="280"/>
        <w:rPr>
          <w:b/>
          <w:sz w:val="22"/>
          <w:szCs w:val="22"/>
        </w:rPr>
      </w:pPr>
      <w:bookmarkStart w:id="5" w:name="_heading=h.c8uv9zacn13r" w:colFirst="0" w:colLast="0"/>
      <w:bookmarkEnd w:id="5"/>
      <w:r>
        <w:rPr>
          <w:b/>
          <w:sz w:val="22"/>
          <w:szCs w:val="22"/>
        </w:rPr>
        <w:t>Finanzierungsrunde ermöglicht weiteres Wachstum</w:t>
      </w:r>
    </w:p>
    <w:p w14:paraId="4CD35A25" w14:textId="77777777" w:rsidR="00537D90" w:rsidRDefault="00000000">
      <w:pPr>
        <w:shd w:val="clear" w:color="auto" w:fill="FFFFFF"/>
        <w:spacing w:before="240" w:after="240"/>
      </w:pPr>
      <w:r>
        <w:lastRenderedPageBreak/>
        <w:t>Für die Umsetzung seiner ambitionierten Ziele hat Green Fusion 12 Millionen Euro Kapital von Investoren erhalten. Die Finanzierungsrunde wurde von HV Capital und XAnge angeführt, mit Beteiligung bestehender VC-Investoren wie BitStone Capital, Übermorgen Ventures, kopa ventures, Vireo Ventures und Brandenburg Kapital.</w:t>
      </w:r>
    </w:p>
    <w:p w14:paraId="633620DF" w14:textId="77777777" w:rsidR="00537D90" w:rsidRDefault="00000000">
      <w:pPr>
        <w:shd w:val="clear" w:color="auto" w:fill="FFFFFF"/>
        <w:spacing w:before="240" w:after="240"/>
      </w:pPr>
      <w:r>
        <w:t>Das frische Kapital wird gezielt in die Erweiterung der Teams für Installation, Vertrieb, Produktentwicklung und Kundenbetreuung investiert – und in den Aufbau der neuen Einheit zur Optimierung regenerativer Energiesysteme.</w:t>
      </w:r>
    </w:p>
    <w:p w14:paraId="2E97E647" w14:textId="77777777" w:rsidR="00537D90" w:rsidRDefault="00537D90">
      <w:pPr>
        <w:pStyle w:val="Titel"/>
        <w:shd w:val="clear" w:color="auto" w:fill="FFFFFF"/>
        <w:spacing w:after="0"/>
        <w:rPr>
          <w:sz w:val="40"/>
          <w:szCs w:val="40"/>
        </w:rPr>
      </w:pPr>
      <w:bookmarkStart w:id="6" w:name="_heading=h.87t8gz9ftxe" w:colFirst="0" w:colLast="0"/>
      <w:bookmarkEnd w:id="6"/>
    </w:p>
    <w:p w14:paraId="1469EE6A" w14:textId="77777777" w:rsidR="00537D90" w:rsidRDefault="00000000">
      <w:pPr>
        <w:pStyle w:val="Titel"/>
        <w:shd w:val="clear" w:color="auto" w:fill="FFFFFF"/>
        <w:spacing w:after="0"/>
        <w:rPr>
          <w:sz w:val="40"/>
          <w:szCs w:val="40"/>
        </w:rPr>
      </w:pPr>
      <w:bookmarkStart w:id="7" w:name="_heading=h.wfjsnqd7nkzb" w:colFirst="0" w:colLast="0"/>
      <w:bookmarkEnd w:id="7"/>
      <w:r>
        <w:rPr>
          <w:noProof/>
        </w:rPr>
        <w:pict w14:anchorId="758D7513">
          <v:rect id="_x0000_i1025" alt="" style="width:451.3pt;height:.05pt;mso-width-percent:0;mso-height-percent:0;mso-width-percent:0;mso-height-percent:0" o:hralign="center" o:hrstd="t" o:hr="t" fillcolor="#a0a0a0" stroked="f"/>
        </w:pict>
      </w:r>
    </w:p>
    <w:p w14:paraId="3EEC09F6" w14:textId="77777777" w:rsidR="00537D90" w:rsidRDefault="00537D90">
      <w:pPr>
        <w:pStyle w:val="Titel"/>
        <w:shd w:val="clear" w:color="auto" w:fill="FFFFFF"/>
        <w:spacing w:after="0"/>
        <w:rPr>
          <w:sz w:val="40"/>
          <w:szCs w:val="40"/>
        </w:rPr>
      </w:pPr>
      <w:bookmarkStart w:id="8" w:name="_heading=h.4cdzs6rih9lv" w:colFirst="0" w:colLast="0"/>
      <w:bookmarkEnd w:id="8"/>
    </w:p>
    <w:p w14:paraId="0046F7B7" w14:textId="77777777" w:rsidR="00537D90" w:rsidRDefault="00000000">
      <w:r>
        <w:rPr>
          <w:rFonts w:ascii="Source Sans 3 Light" w:eastAsia="Source Sans 3 Light" w:hAnsi="Source Sans 3 Light" w:cs="Source Sans 3 Light"/>
          <w:sz w:val="32"/>
          <w:szCs w:val="32"/>
        </w:rPr>
        <w:t>Bilder / Bildzeilen</w:t>
      </w:r>
    </w:p>
    <w:p w14:paraId="3D99D6B0" w14:textId="77777777" w:rsidR="00537D90" w:rsidRDefault="00537D90">
      <w:pPr>
        <w:rPr>
          <w:u w:val="single"/>
        </w:rPr>
      </w:pPr>
    </w:p>
    <w:p w14:paraId="51CDE20C" w14:textId="77777777" w:rsidR="00537D90" w:rsidRDefault="00000000">
      <w:pPr>
        <w:shd w:val="clear" w:color="auto" w:fill="FFFFFF"/>
        <w:spacing w:after="0"/>
        <w:rPr>
          <w:u w:val="single"/>
        </w:rPr>
      </w:pPr>
      <w:r>
        <w:rPr>
          <w:b/>
          <w:noProof/>
        </w:rPr>
        <w:drawing>
          <wp:inline distT="114300" distB="114300" distL="114300" distR="114300" wp14:anchorId="4E7AE693" wp14:editId="7B039CD7">
            <wp:extent cx="2414588" cy="1607762"/>
            <wp:effectExtent l="0" t="0" r="0" b="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8" cstate="email">
                      <a:extLst>
                        <a:ext uri="{28A0092B-C50C-407E-A947-70E740481C1C}">
                          <a14:useLocalDpi xmlns:a14="http://schemas.microsoft.com/office/drawing/2010/main"/>
                        </a:ext>
                      </a:extLst>
                    </a:blip>
                    <a:srcRect/>
                    <a:stretch>
                      <a:fillRect/>
                    </a:stretch>
                  </pic:blipFill>
                  <pic:spPr>
                    <a:xfrm>
                      <a:off x="0" y="0"/>
                      <a:ext cx="2414588" cy="1607762"/>
                    </a:xfrm>
                    <a:prstGeom prst="rect">
                      <a:avLst/>
                    </a:prstGeom>
                    <a:ln/>
                  </pic:spPr>
                </pic:pic>
              </a:graphicData>
            </a:graphic>
          </wp:inline>
        </w:drawing>
      </w:r>
    </w:p>
    <w:p w14:paraId="6265D2DB" w14:textId="42A85ADF" w:rsidR="00537D90" w:rsidRPr="00BE0461" w:rsidRDefault="00000000">
      <w:pPr>
        <w:rPr>
          <w:lang w:val="en-US"/>
        </w:rPr>
      </w:pPr>
      <w:r>
        <w:rPr>
          <w:u w:val="single"/>
        </w:rPr>
        <w:t>Bild 1:</w:t>
      </w:r>
      <w:r>
        <w:t xml:space="preserve"> Das Management Team von Green Fusion in einem Berliner Heizungskeller: (v.l.n.r.) </w:t>
      </w:r>
      <w:r w:rsidRPr="00BE0461">
        <w:rPr>
          <w:lang w:val="en-US"/>
        </w:rPr>
        <w:t>Matteo  Zappulla (Chief Product Officer), Simon Wagenknecht (Chief of Automation), Nina Germanus (Co-CEO), Paul Hock (Co-CEO) und Thomas Filkorn (Chief Revenue Officer).</w:t>
      </w:r>
      <w:r w:rsidR="00766296">
        <w:rPr>
          <w:lang w:val="en-US"/>
        </w:rPr>
        <w:br/>
        <w:t>Credit: Paul Hüttemann</w:t>
      </w:r>
    </w:p>
    <w:p w14:paraId="7756F5FE" w14:textId="77777777" w:rsidR="00537D90" w:rsidRPr="00BE0461" w:rsidRDefault="00537D90">
      <w:pPr>
        <w:rPr>
          <w:u w:val="single"/>
          <w:lang w:val="en-US"/>
        </w:rPr>
      </w:pPr>
    </w:p>
    <w:p w14:paraId="5E281AB1" w14:textId="77777777" w:rsidR="00537D90" w:rsidRPr="00BE0461" w:rsidRDefault="00537D90">
      <w:pPr>
        <w:rPr>
          <w:u w:val="single"/>
          <w:lang w:val="en-US"/>
        </w:rPr>
      </w:pPr>
    </w:p>
    <w:p w14:paraId="4394D716" w14:textId="77777777" w:rsidR="00537D90" w:rsidRPr="00BE0461" w:rsidRDefault="00537D90">
      <w:pPr>
        <w:rPr>
          <w:u w:val="single"/>
          <w:lang w:val="en-US"/>
        </w:rPr>
      </w:pPr>
    </w:p>
    <w:p w14:paraId="400C3837" w14:textId="77777777" w:rsidR="00537D90" w:rsidRDefault="00000000">
      <w:pPr>
        <w:rPr>
          <w:u w:val="single"/>
        </w:rPr>
      </w:pPr>
      <w:r>
        <w:rPr>
          <w:noProof/>
          <w:u w:val="single"/>
        </w:rPr>
        <w:lastRenderedPageBreak/>
        <w:drawing>
          <wp:inline distT="114300" distB="114300" distL="114300" distR="114300" wp14:anchorId="1A20BBEE" wp14:editId="38CF1273">
            <wp:extent cx="1690688" cy="1970674"/>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cstate="email">
                      <a:extLst>
                        <a:ext uri="{28A0092B-C50C-407E-A947-70E740481C1C}">
                          <a14:useLocalDpi xmlns:a14="http://schemas.microsoft.com/office/drawing/2010/main"/>
                        </a:ext>
                      </a:extLst>
                    </a:blip>
                    <a:srcRect/>
                    <a:stretch>
                      <a:fillRect/>
                    </a:stretch>
                  </pic:blipFill>
                  <pic:spPr>
                    <a:xfrm>
                      <a:off x="0" y="0"/>
                      <a:ext cx="1690688" cy="1970674"/>
                    </a:xfrm>
                    <a:prstGeom prst="rect">
                      <a:avLst/>
                    </a:prstGeom>
                    <a:ln/>
                  </pic:spPr>
                </pic:pic>
              </a:graphicData>
            </a:graphic>
          </wp:inline>
        </w:drawing>
      </w:r>
    </w:p>
    <w:p w14:paraId="2FD56BED" w14:textId="04C7485F" w:rsidR="00537D90" w:rsidRDefault="00000000">
      <w:r>
        <w:rPr>
          <w:u w:val="single"/>
        </w:rPr>
        <w:t>Bild 2</w:t>
      </w:r>
      <w:r>
        <w:t>: Paul Hock, Gründer und Co-Geschäftsführer von Green Fusion.</w:t>
      </w:r>
      <w:r w:rsidR="00766296">
        <w:t xml:space="preserve"> </w:t>
      </w:r>
      <w:r w:rsidR="00766296">
        <w:rPr>
          <w:lang w:val="en-US"/>
        </w:rPr>
        <w:t>Credit: Paul Hüttemann</w:t>
      </w:r>
    </w:p>
    <w:p w14:paraId="299A23B0" w14:textId="77777777" w:rsidR="00537D90" w:rsidRDefault="00000000">
      <w:r>
        <w:rPr>
          <w:noProof/>
        </w:rPr>
        <w:drawing>
          <wp:inline distT="114300" distB="114300" distL="114300" distR="114300" wp14:anchorId="5C388606" wp14:editId="5EA69C82">
            <wp:extent cx="2643188" cy="1741289"/>
            <wp:effectExtent l="0" t="0" r="0" b="0"/>
            <wp:docPr id="8"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0" cstate="email">
                      <a:extLst>
                        <a:ext uri="{28A0092B-C50C-407E-A947-70E740481C1C}">
                          <a14:useLocalDpi xmlns:a14="http://schemas.microsoft.com/office/drawing/2010/main"/>
                        </a:ext>
                      </a:extLst>
                    </a:blip>
                    <a:srcRect/>
                    <a:stretch>
                      <a:fillRect/>
                    </a:stretch>
                  </pic:blipFill>
                  <pic:spPr>
                    <a:xfrm>
                      <a:off x="0" y="0"/>
                      <a:ext cx="2643188" cy="1741289"/>
                    </a:xfrm>
                    <a:prstGeom prst="rect">
                      <a:avLst/>
                    </a:prstGeom>
                    <a:ln/>
                  </pic:spPr>
                </pic:pic>
              </a:graphicData>
            </a:graphic>
          </wp:inline>
        </w:drawing>
      </w:r>
    </w:p>
    <w:p w14:paraId="1957E072" w14:textId="1B585547" w:rsidR="00537D90" w:rsidRDefault="00000000">
      <w:r>
        <w:rPr>
          <w:u w:val="single"/>
        </w:rPr>
        <w:t>Bild 3</w:t>
      </w:r>
      <w:r>
        <w:t>: Das Green Fusion Team feiert in seinem Berliner Büro die Finanzierungsrunde.</w:t>
      </w:r>
      <w:r w:rsidR="00766296">
        <w:t xml:space="preserve"> Credit: Green Fusion</w:t>
      </w:r>
    </w:p>
    <w:p w14:paraId="5B4A3028" w14:textId="77777777" w:rsidR="00537D90" w:rsidRDefault="00000000">
      <w:r>
        <w:rPr>
          <w:noProof/>
        </w:rPr>
        <w:drawing>
          <wp:inline distT="114300" distB="114300" distL="114300" distR="114300" wp14:anchorId="169C4A56" wp14:editId="4F5DDAFB">
            <wp:extent cx="2643188" cy="1760661"/>
            <wp:effectExtent l="0" t="0" r="0" b="0"/>
            <wp:docPr id="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cstate="email">
                      <a:extLst>
                        <a:ext uri="{28A0092B-C50C-407E-A947-70E740481C1C}">
                          <a14:useLocalDpi xmlns:a14="http://schemas.microsoft.com/office/drawing/2010/main"/>
                        </a:ext>
                      </a:extLst>
                    </a:blip>
                    <a:srcRect/>
                    <a:stretch>
                      <a:fillRect/>
                    </a:stretch>
                  </pic:blipFill>
                  <pic:spPr>
                    <a:xfrm>
                      <a:off x="0" y="0"/>
                      <a:ext cx="2643188" cy="1760661"/>
                    </a:xfrm>
                    <a:prstGeom prst="rect">
                      <a:avLst/>
                    </a:prstGeom>
                    <a:ln/>
                  </pic:spPr>
                </pic:pic>
              </a:graphicData>
            </a:graphic>
          </wp:inline>
        </w:drawing>
      </w:r>
    </w:p>
    <w:p w14:paraId="482657F5" w14:textId="79D53EA1" w:rsidR="00537D90" w:rsidRDefault="00000000">
      <w:r>
        <w:rPr>
          <w:u w:val="single"/>
        </w:rPr>
        <w:t>Bild 4:</w:t>
      </w:r>
      <w:r>
        <w:rPr>
          <w:b/>
        </w:rPr>
        <w:t xml:space="preserve"> </w:t>
      </w:r>
      <w:r>
        <w:t>Axel Gedaschko, Präsident des GdW Bundesverband deutscher Wohnungs- und Immobilienunternehmen e. V.</w:t>
      </w:r>
      <w:r w:rsidR="00766296">
        <w:t xml:space="preserve"> ; Credit: GdW</w:t>
      </w:r>
    </w:p>
    <w:p w14:paraId="02091B4A" w14:textId="77777777" w:rsidR="00537D90" w:rsidRDefault="00000000">
      <w:pPr>
        <w:pStyle w:val="berschrift2"/>
        <w:rPr>
          <w:rFonts w:ascii="Source Sans 3 Light" w:eastAsia="Source Sans 3 Light" w:hAnsi="Source Sans 3 Light" w:cs="Source Sans 3 Light"/>
          <w:u w:val="single"/>
        </w:rPr>
      </w:pPr>
      <w:bookmarkStart w:id="9" w:name="_heading=h.pj9es1l35p9h" w:colFirst="0" w:colLast="0"/>
      <w:bookmarkEnd w:id="9"/>
      <w:r>
        <w:rPr>
          <w:rFonts w:ascii="Source Sans 3 Light" w:eastAsia="Source Sans 3 Light" w:hAnsi="Source Sans 3 Light" w:cs="Source Sans 3 Light"/>
          <w:sz w:val="24"/>
          <w:szCs w:val="24"/>
        </w:rPr>
        <w:lastRenderedPageBreak/>
        <w:br/>
      </w:r>
      <w:r>
        <w:rPr>
          <w:rFonts w:ascii="Source Sans 3 Light" w:eastAsia="Source Sans 3 Light" w:hAnsi="Source Sans 3 Light" w:cs="Source Sans 3 Light"/>
        </w:rPr>
        <w:t>Über Green Fusion</w:t>
      </w:r>
    </w:p>
    <w:p w14:paraId="32688BB9" w14:textId="77777777" w:rsidR="00537D90" w:rsidRDefault="00000000">
      <w:pPr>
        <w:jc w:val="both"/>
        <w:rPr>
          <w:rFonts w:ascii="Source Sans 3 Light" w:eastAsia="Source Sans 3 Light" w:hAnsi="Source Sans 3 Light" w:cs="Source Sans 3 Light"/>
          <w:sz w:val="26"/>
          <w:szCs w:val="26"/>
        </w:rPr>
      </w:pPr>
      <w:r>
        <w:rPr>
          <w:rFonts w:ascii="Source Sans 3 Light" w:eastAsia="Source Sans 3 Light" w:hAnsi="Source Sans 3 Light" w:cs="Source Sans 3 Light"/>
          <w:sz w:val="26"/>
          <w:szCs w:val="26"/>
        </w:rPr>
        <w:t>Der digitale Heizungskeller, der mehr kann</w:t>
      </w:r>
    </w:p>
    <w:p w14:paraId="6FC507A1" w14:textId="77777777" w:rsidR="00537D90" w:rsidRDefault="00000000">
      <w:pPr>
        <w:jc w:val="both"/>
      </w:pPr>
      <w:r>
        <w:t>Green Fusion beschleunigt die Wärmewende in der Wohnungswirtschaft. Das Unternehmen vertreibt ein cloudbasiertes Energiemanagementsystem. Dieser Energiespar-Pilot überwacht, analysiert und steuert mithilfe künstlicher Intelligenz Wärme- und Energiesysteme in Gebäuden. Hierfür installiert Green Fusion neben Sensoren die Steuerungseinheit mit dem Namen GreenBox in den Heizungskellern. Kunden sind Wohnungsgesellschaften, Stadtwerke, Contractoren, Eigentümer und Betreiber von Energieversorgungsanlagen.</w:t>
      </w:r>
    </w:p>
    <w:p w14:paraId="74C2B102" w14:textId="77777777" w:rsidR="00537D90" w:rsidRDefault="00000000">
      <w:r>
        <w:t xml:space="preserve">Weitere Informationen unter </w:t>
      </w:r>
      <w:hyperlink r:id="rId12">
        <w:r w:rsidR="00537D90">
          <w:rPr>
            <w:color w:val="36CDAA"/>
          </w:rPr>
          <w:t>green-fusion.de</w:t>
        </w:r>
      </w:hyperlink>
    </w:p>
    <w:p w14:paraId="6C0D8DCA" w14:textId="77777777" w:rsidR="00537D90" w:rsidRDefault="00000000">
      <w:pPr>
        <w:rPr>
          <w:sz w:val="18"/>
          <w:szCs w:val="18"/>
        </w:rPr>
      </w:pPr>
      <w:r>
        <w:rPr>
          <w:rFonts w:ascii="Source Sans 3 Light" w:eastAsia="Source Sans 3 Light" w:hAnsi="Source Sans 3 Light" w:cs="Source Sans 3 Light"/>
          <w:sz w:val="28"/>
          <w:szCs w:val="28"/>
        </w:rPr>
        <w:t>Pressekontakt:</w:t>
      </w:r>
    </w:p>
    <w:p w14:paraId="5F056628" w14:textId="77777777" w:rsidR="00537D90" w:rsidRDefault="00000000">
      <w:pPr>
        <w:spacing w:after="0"/>
      </w:pPr>
      <w:r>
        <w:t>Wenke Bühlmeyer</w:t>
      </w:r>
    </w:p>
    <w:p w14:paraId="6D2CFC66" w14:textId="77777777" w:rsidR="00537D90" w:rsidRDefault="00000000">
      <w:pPr>
        <w:spacing w:after="0"/>
      </w:pPr>
      <w:r>
        <w:t>Tel.: +49 151 43498749</w:t>
      </w:r>
    </w:p>
    <w:p w14:paraId="71DBB629" w14:textId="77777777" w:rsidR="00537D90" w:rsidRDefault="00000000">
      <w:pPr>
        <w:rPr>
          <w:rFonts w:ascii="Source Sans 3 Light" w:eastAsia="Source Sans 3 Light" w:hAnsi="Source Sans 3 Light" w:cs="Source Sans 3 Light"/>
          <w:sz w:val="32"/>
          <w:szCs w:val="32"/>
        </w:rPr>
      </w:pPr>
      <w:r>
        <w:t>E-Mail: w.buehlmeyer@green-fusion.de</w:t>
      </w:r>
    </w:p>
    <w:p w14:paraId="14E82C52" w14:textId="77777777" w:rsidR="00537D90" w:rsidRDefault="00000000">
      <w:pPr>
        <w:shd w:val="clear" w:color="auto" w:fill="FFFFFF"/>
        <w:spacing w:after="0" w:line="360" w:lineRule="auto"/>
        <w:rPr>
          <w:rFonts w:ascii="Source Sans 3 Light" w:eastAsia="Source Sans 3 Light" w:hAnsi="Source Sans 3 Light" w:cs="Source Sans 3 Light"/>
          <w:sz w:val="32"/>
          <w:szCs w:val="32"/>
        </w:rPr>
      </w:pPr>
      <w:r>
        <w:rPr>
          <w:noProof/>
        </w:rPr>
        <w:pict w14:anchorId="1B15653D">
          <v:rect id="_x0000_i1026" alt="" style="width:451.3pt;height:.05pt;mso-width-percent:0;mso-height-percent:0;mso-width-percent:0;mso-height-percent:0" o:hralign="center" o:hrstd="t" o:hr="t" fillcolor="#a0a0a0" stroked="f"/>
        </w:pict>
      </w:r>
    </w:p>
    <w:p w14:paraId="29F90F25" w14:textId="77777777" w:rsidR="00537D90" w:rsidRPr="00BE0461" w:rsidRDefault="00000000">
      <w:pPr>
        <w:shd w:val="clear" w:color="auto" w:fill="FFFFFF"/>
        <w:spacing w:after="0" w:line="360" w:lineRule="auto"/>
        <w:rPr>
          <w:sz w:val="24"/>
          <w:szCs w:val="24"/>
          <w:lang w:val="en-US"/>
        </w:rPr>
      </w:pPr>
      <w:r w:rsidRPr="00BE0461">
        <w:rPr>
          <w:rFonts w:ascii="Source Sans 3 Light" w:eastAsia="Source Sans 3 Light" w:hAnsi="Source Sans 3 Light" w:cs="Source Sans 3 Light"/>
          <w:sz w:val="32"/>
          <w:szCs w:val="32"/>
          <w:lang w:val="en-US"/>
        </w:rPr>
        <w:t>About XAnge</w:t>
      </w:r>
    </w:p>
    <w:p w14:paraId="52C6D19C" w14:textId="77777777" w:rsidR="00537D90" w:rsidRPr="00BE0461" w:rsidRDefault="00000000">
      <w:pPr>
        <w:shd w:val="clear" w:color="auto" w:fill="FFFFFF"/>
        <w:spacing w:after="0" w:line="360" w:lineRule="auto"/>
        <w:rPr>
          <w:lang w:val="en-US"/>
        </w:rPr>
      </w:pPr>
      <w:r w:rsidRPr="00BE0461">
        <w:rPr>
          <w:lang w:val="en-US"/>
        </w:rPr>
        <w:t>XAnge is a leading European venture capital firm based in Paris, Berlin, and Munich. With +€600M Assets under Management, we invest in European early-stage innovative</w:t>
      </w:r>
    </w:p>
    <w:p w14:paraId="30643F57" w14:textId="77777777" w:rsidR="00537D90" w:rsidRDefault="00000000">
      <w:pPr>
        <w:shd w:val="clear" w:color="auto" w:fill="FFFFFF"/>
        <w:spacing w:after="0" w:line="360" w:lineRule="auto"/>
        <w:rPr>
          <w:rFonts w:ascii="Source Sans 3 Light" w:eastAsia="Source Sans 3 Light" w:hAnsi="Source Sans 3 Light" w:cs="Source Sans 3 Light"/>
          <w:sz w:val="28"/>
          <w:szCs w:val="28"/>
        </w:rPr>
      </w:pPr>
      <w:r w:rsidRPr="00BE0461">
        <w:rPr>
          <w:lang w:val="en-US"/>
        </w:rPr>
        <w:t xml:space="preserve">technology companies operating in the fields of Digital Consumer Technology, Enterprise &amp; Data, Fintech, and Deeptech. Since its creation in 2003, XAnge has backed more than 250 fast-growing companies in their entrepreneurial journeys. The team works alongside visionary founders with strong values and international ambitions, such as Ledger, Odoo, Raisin (ex. </w:t>
      </w:r>
      <w:r>
        <w:t xml:space="preserve">Deposit Solutions), Mister Spex, and Believe Digital. </w:t>
      </w:r>
      <w:r>
        <w:br/>
        <w:t xml:space="preserve">Weitere Informationen unter </w:t>
      </w:r>
      <w:hyperlink r:id="rId13">
        <w:r w:rsidR="00537D90">
          <w:rPr>
            <w:color w:val="36CDAA"/>
            <w:u w:val="single"/>
          </w:rPr>
          <w:t>xange.vc</w:t>
        </w:r>
      </w:hyperlink>
    </w:p>
    <w:p w14:paraId="10DEB524" w14:textId="77777777" w:rsidR="00537D90" w:rsidRDefault="00000000">
      <w:pPr>
        <w:shd w:val="clear" w:color="auto" w:fill="FFFFFF"/>
        <w:spacing w:after="0" w:line="360" w:lineRule="auto"/>
        <w:rPr>
          <w:rFonts w:ascii="Source Sans 3 Light" w:eastAsia="Source Sans 3 Light" w:hAnsi="Source Sans 3 Light" w:cs="Source Sans 3 Light"/>
          <w:sz w:val="28"/>
          <w:szCs w:val="28"/>
        </w:rPr>
      </w:pPr>
      <w:r>
        <w:rPr>
          <w:rFonts w:ascii="Source Sans 3 Light" w:eastAsia="Source Sans 3 Light" w:hAnsi="Source Sans 3 Light" w:cs="Source Sans 3 Light"/>
          <w:sz w:val="28"/>
          <w:szCs w:val="28"/>
        </w:rPr>
        <w:t>Pressekontakt:</w:t>
      </w:r>
    </w:p>
    <w:p w14:paraId="4AD7D2F6" w14:textId="77777777" w:rsidR="00537D90" w:rsidRPr="00BE0461" w:rsidRDefault="00000000">
      <w:pPr>
        <w:shd w:val="clear" w:color="auto" w:fill="FFFFFF"/>
        <w:spacing w:after="0"/>
        <w:rPr>
          <w:lang w:val="en-US"/>
        </w:rPr>
      </w:pPr>
      <w:r w:rsidRPr="00BE0461">
        <w:rPr>
          <w:lang w:val="en-US"/>
        </w:rPr>
        <w:t>Julia Heyne</w:t>
      </w:r>
    </w:p>
    <w:p w14:paraId="54C4F9A3" w14:textId="77777777" w:rsidR="00537D90" w:rsidRPr="00BE0461" w:rsidRDefault="00000000">
      <w:pPr>
        <w:shd w:val="clear" w:color="auto" w:fill="FFFFFF"/>
        <w:spacing w:after="0"/>
        <w:rPr>
          <w:lang w:val="en-US"/>
        </w:rPr>
      </w:pPr>
      <w:r w:rsidRPr="00BE0461">
        <w:rPr>
          <w:lang w:val="en-US"/>
        </w:rPr>
        <w:t>Tel: 0152 2209 4404</w:t>
      </w:r>
    </w:p>
    <w:p w14:paraId="23A9CCFD" w14:textId="77777777" w:rsidR="00537D90" w:rsidRPr="00BE0461" w:rsidRDefault="00000000">
      <w:pPr>
        <w:shd w:val="clear" w:color="auto" w:fill="FFFFFF"/>
        <w:spacing w:after="0"/>
        <w:rPr>
          <w:rFonts w:ascii="Calibri" w:eastAsia="Calibri" w:hAnsi="Calibri" w:cs="Calibri"/>
          <w:b/>
          <w:sz w:val="24"/>
          <w:szCs w:val="24"/>
          <w:lang w:val="en-US"/>
        </w:rPr>
      </w:pPr>
      <w:r w:rsidRPr="00BE0461">
        <w:rPr>
          <w:lang w:val="en-US"/>
        </w:rPr>
        <w:t>E-Mail: press@xange.vc</w:t>
      </w:r>
    </w:p>
    <w:p w14:paraId="4429D988" w14:textId="77777777" w:rsidR="00537D90" w:rsidRPr="00BE0461" w:rsidRDefault="00000000">
      <w:pPr>
        <w:spacing w:after="0" w:line="360" w:lineRule="auto"/>
        <w:rPr>
          <w:rFonts w:ascii="Source Sans 3 Light" w:eastAsia="Source Sans 3 Light" w:hAnsi="Source Sans 3 Light" w:cs="Source Sans 3 Light"/>
          <w:sz w:val="32"/>
          <w:szCs w:val="32"/>
          <w:lang w:val="en-US"/>
        </w:rPr>
      </w:pPr>
      <w:r w:rsidRPr="00BE0461">
        <w:rPr>
          <w:rFonts w:ascii="Source Sans 3 Light" w:eastAsia="Source Sans 3 Light" w:hAnsi="Source Sans 3 Light" w:cs="Source Sans 3 Light"/>
          <w:sz w:val="32"/>
          <w:szCs w:val="32"/>
          <w:lang w:val="en-US"/>
        </w:rPr>
        <w:lastRenderedPageBreak/>
        <w:t>About HV Capital</w:t>
      </w:r>
    </w:p>
    <w:p w14:paraId="148B0529" w14:textId="77777777" w:rsidR="00537D90" w:rsidRDefault="00000000">
      <w:pPr>
        <w:spacing w:after="0" w:line="360" w:lineRule="auto"/>
      </w:pPr>
      <w:r>
        <w:t>HV Capital ist einer der führenden Frühphasen- und Wachstumsinvestoren in Europa. Mit neun Fondsgenerationen in 24 Jahren und einem verwalteten Vermögen von €2,8 Mrd. gehört HV Capital zu den aktivsten Investoren des Kontinents. Das Investmentteam hat langjährige Erfahrung darin, europäische Startups mit großem Erfolgspotential zu erkennen.</w:t>
      </w:r>
      <w:r>
        <w:br/>
      </w:r>
    </w:p>
    <w:p w14:paraId="3451A5B3" w14:textId="77777777" w:rsidR="00537D90" w:rsidRDefault="00000000">
      <w:pPr>
        <w:spacing w:after="0" w:line="360" w:lineRule="auto"/>
      </w:pPr>
      <w:r>
        <w:t xml:space="preserve">Neben internationalen Erfolgsgeschichten wie  Flix, Zalando, Delivery Hero, Sumup, and Depop, gehören auch die Innovationsführer Marvel Fusion, Sennder, Neura Robotics, Enpal, oder Isar Aerospace zum Portfolio. HV Capital sucht kontinuierlich nach führenden Startups aller Branchen wie SaaS, deep tech, climate tech, FinTech und consumer goods und hat bereits in rund 250 Internet- und Technologieunternehmen investiert. </w:t>
      </w:r>
    </w:p>
    <w:p w14:paraId="3B4E9985" w14:textId="77777777" w:rsidR="00537D90" w:rsidRDefault="00000000">
      <w:pPr>
        <w:spacing w:after="0" w:line="360" w:lineRule="auto"/>
      </w:pPr>
      <w:r>
        <w:br/>
        <w:t xml:space="preserve">HV Capital unterstützt Startups mit Kapital zwischen €0,5 Mio. und €60 Mio. und ist einer der wenigen Risikokapitalgeber in Europa, der diese Unternehmen in allen Wachstumsphasen finanzieren kann. Ziel dabei ist es, langfristige Partnerschaften für nachhaltiges Wachstum einzugehen. HV Capital verfügt über ein Team von mehr als 60+ Professionals, die vielfältige Perspektiven und Expertise im Bereich Risikokapital einbringen. </w:t>
      </w:r>
      <w:r>
        <w:br/>
      </w:r>
      <w:r>
        <w:br/>
        <w:t xml:space="preserve">Weitere Informationen unter </w:t>
      </w:r>
      <w:hyperlink r:id="rId14">
        <w:r w:rsidR="00537D90">
          <w:rPr>
            <w:color w:val="36CDAA"/>
            <w:u w:val="single"/>
          </w:rPr>
          <w:t>www.hvcapital.com</w:t>
        </w:r>
      </w:hyperlink>
      <w:r>
        <w:t xml:space="preserve"> </w:t>
      </w:r>
    </w:p>
    <w:p w14:paraId="516466D2" w14:textId="77777777" w:rsidR="00537D90" w:rsidRDefault="00000000">
      <w:pPr>
        <w:spacing w:after="0" w:line="360" w:lineRule="auto"/>
        <w:rPr>
          <w:rFonts w:ascii="Source Sans 3 Light" w:eastAsia="Source Sans 3 Light" w:hAnsi="Source Sans 3 Light" w:cs="Source Sans 3 Light"/>
          <w:sz w:val="28"/>
          <w:szCs w:val="28"/>
        </w:rPr>
      </w:pPr>
      <w:r>
        <w:rPr>
          <w:rFonts w:ascii="Source Sans 3 Light" w:eastAsia="Source Sans 3 Light" w:hAnsi="Source Sans 3 Light" w:cs="Source Sans 3 Light"/>
          <w:sz w:val="28"/>
          <w:szCs w:val="28"/>
        </w:rPr>
        <w:br/>
        <w:t xml:space="preserve">Pressekontakt: </w:t>
      </w:r>
    </w:p>
    <w:p w14:paraId="13C96886" w14:textId="77777777" w:rsidR="00537D90" w:rsidRDefault="00000000">
      <w:pPr>
        <w:spacing w:after="0"/>
      </w:pPr>
      <w:r>
        <w:t>Kasey Davies</w:t>
      </w:r>
    </w:p>
    <w:p w14:paraId="30BB952D" w14:textId="77777777" w:rsidR="00537D90" w:rsidRDefault="00000000">
      <w:pPr>
        <w:spacing w:after="0"/>
      </w:pPr>
      <w:r>
        <w:t>E-Mail: kasey.davies@hvcapital.com</w:t>
      </w:r>
    </w:p>
    <w:p w14:paraId="2756B78A" w14:textId="77777777" w:rsidR="00537D90" w:rsidRDefault="00537D90"/>
    <w:sectPr w:rsidR="00537D90">
      <w:headerReference w:type="default" r:id="rId15"/>
      <w:footerReference w:type="default" r:id="rId16"/>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B6B43A" w14:textId="77777777" w:rsidR="005F7C54" w:rsidRDefault="005F7C54">
      <w:pPr>
        <w:spacing w:after="0" w:line="240" w:lineRule="auto"/>
      </w:pPr>
      <w:r>
        <w:separator/>
      </w:r>
    </w:p>
  </w:endnote>
  <w:endnote w:type="continuationSeparator" w:id="0">
    <w:p w14:paraId="14B3DF62" w14:textId="77777777" w:rsidR="005F7C54" w:rsidRDefault="005F7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ource Sans 3">
    <w:panose1 w:val="020B0303030403020204"/>
    <w:charset w:val="00"/>
    <w:family w:val="swiss"/>
    <w:pitch w:val="variable"/>
    <w:sig w:usb0="E00002FF" w:usb1="00002003" w:usb2="00000000" w:usb3="00000000" w:csb0="0000019F" w:csb1="00000000"/>
    <w:embedRegular r:id="rId1" w:fontKey="{73853F26-BABC-4858-A451-3308C29C0BDB}"/>
    <w:embedBold r:id="rId2" w:fontKey="{6532FB69-8AE3-40D9-907A-9CC892BADC8C}"/>
    <w:embedItalic r:id="rId3" w:fontKey="{F3F82B98-64CF-4CB1-B6D9-08F4D6F78F2E}"/>
  </w:font>
  <w:font w:name="Source Sans 3 Medium">
    <w:panose1 w:val="020B0303030403020204"/>
    <w:charset w:val="00"/>
    <w:family w:val="swiss"/>
    <w:pitch w:val="variable"/>
    <w:sig w:usb0="E00002FF" w:usb1="00002003" w:usb2="00000000" w:usb3="00000000" w:csb0="0000019F" w:csb1="00000000"/>
    <w:embedRegular r:id="rId4" w:fontKey="{D155293E-E69B-4403-9379-26D2BD2A6C0E}"/>
  </w:font>
  <w:font w:name="Times New Roman">
    <w:panose1 w:val="02020603050405020304"/>
    <w:charset w:val="00"/>
    <w:family w:val="roman"/>
    <w:pitch w:val="variable"/>
    <w:sig w:usb0="E0002EFF" w:usb1="C000785B" w:usb2="00000009" w:usb3="00000000" w:csb0="000001FF" w:csb1="00000000"/>
  </w:font>
  <w:font w:name="Source Sans 3 ExtraLight">
    <w:panose1 w:val="020B0303030403020204"/>
    <w:charset w:val="00"/>
    <w:family w:val="swiss"/>
    <w:pitch w:val="variable"/>
    <w:sig w:usb0="E00002FF" w:usb1="00002003" w:usb2="00000000" w:usb3="00000000" w:csb0="0000019F" w:csb1="00000000"/>
    <w:embedRegular r:id="rId5" w:fontKey="{C2989AC2-BF70-4B3B-9C54-6D389208184C}"/>
  </w:font>
  <w:font w:name="Source Sans 3 Light">
    <w:panose1 w:val="020B0303030403020204"/>
    <w:charset w:val="00"/>
    <w:family w:val="swiss"/>
    <w:pitch w:val="variable"/>
    <w:sig w:usb0="E00002FF" w:usb1="00002003" w:usb2="00000000" w:usb3="00000000" w:csb0="0000019F" w:csb1="00000000"/>
    <w:embedRegular r:id="rId6" w:fontKey="{70F59940-EBFF-420B-B64D-D29E5E03447F}"/>
  </w:font>
  <w:font w:name="Calibri">
    <w:panose1 w:val="020F0502020204030204"/>
    <w:charset w:val="00"/>
    <w:family w:val="swiss"/>
    <w:pitch w:val="variable"/>
    <w:sig w:usb0="E4002EFF" w:usb1="C200247B" w:usb2="00000009" w:usb3="00000000" w:csb0="000001FF" w:csb1="00000000"/>
    <w:embedRegular r:id="rId7" w:fontKey="{F5AF61A8-2C9F-4EEC-9ED5-29511CEBE0D5}"/>
    <w:embedBold r:id="rId8" w:fontKey="{97A39726-CD87-43C8-9C54-7A6E53322E02}"/>
  </w:font>
  <w:font w:name="Cambria">
    <w:panose1 w:val="02040503050406030204"/>
    <w:charset w:val="00"/>
    <w:family w:val="roman"/>
    <w:pitch w:val="variable"/>
    <w:sig w:usb0="E00006FF" w:usb1="420024FF" w:usb2="02000000" w:usb3="00000000" w:csb0="0000019F" w:csb1="00000000"/>
    <w:embedRegular r:id="rId9" w:fontKey="{2787CC91-B5E2-4EC6-809F-AC8EB371C34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BC5F1F" w14:textId="77777777" w:rsidR="00537D90" w:rsidRDefault="00537D90">
    <w:pPr>
      <w:jc w:val="center"/>
      <w:rPr>
        <w:color w:val="9BB0A5"/>
        <w:sz w:val="16"/>
        <w:szCs w:val="16"/>
      </w:rPr>
    </w:pPr>
  </w:p>
  <w:p w14:paraId="5D99EA32" w14:textId="77777777" w:rsidR="00537D90" w:rsidRDefault="00000000">
    <w:pPr>
      <w:jc w:val="center"/>
      <w:rPr>
        <w:color w:val="9BB0A5"/>
        <w:sz w:val="16"/>
        <w:szCs w:val="16"/>
      </w:rPr>
    </w:pPr>
    <w:r>
      <w:rPr>
        <w:noProof/>
      </w:rPr>
      <w:pict w14:anchorId="6EB99FEB">
        <v:rect id="_x0000_i1027" alt="" style="width:451.3pt;height:.05pt;mso-width-percent:0;mso-height-percent:0;mso-width-percent:0;mso-height-percent:0" o:hralign="center" o:hrstd="t" o:hr="t" fillcolor="#a0a0a0" stroked="f"/>
      </w:pict>
    </w:r>
    <w:r w:rsidR="00417ED4">
      <w:rPr>
        <w:color w:val="F1C232"/>
        <w:sz w:val="16"/>
        <w:szCs w:val="16"/>
      </w:rPr>
      <w:br/>
    </w:r>
    <w:r w:rsidR="00417ED4">
      <w:rPr>
        <w:color w:val="9BB0A5"/>
        <w:sz w:val="16"/>
        <w:szCs w:val="16"/>
      </w:rPr>
      <w:t>Green Fusion GmbH | Gewerbestraße 19, 16540 Hohen Neuendorf, Deutschland | info@green-fusion.de | www.green-fusion.de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FF7559" w14:textId="77777777" w:rsidR="005F7C54" w:rsidRDefault="005F7C54">
      <w:pPr>
        <w:spacing w:after="0" w:line="240" w:lineRule="auto"/>
      </w:pPr>
      <w:r>
        <w:separator/>
      </w:r>
    </w:p>
  </w:footnote>
  <w:footnote w:type="continuationSeparator" w:id="0">
    <w:p w14:paraId="7B25778B" w14:textId="77777777" w:rsidR="005F7C54" w:rsidRDefault="005F7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B71A7" w14:textId="77777777" w:rsidR="00537D90" w:rsidRDefault="00000000">
    <w:pPr>
      <w:rPr>
        <w:color w:val="9BB0A5"/>
        <w:sz w:val="16"/>
        <w:szCs w:val="16"/>
      </w:rPr>
    </w:pPr>
    <w:r>
      <w:rPr>
        <w:color w:val="9BB0A5"/>
        <w:sz w:val="16"/>
        <w:szCs w:val="16"/>
      </w:rPr>
      <w:t xml:space="preserve"> Pressemitteilung | Seite </w:t>
    </w:r>
    <w:r>
      <w:rPr>
        <w:color w:val="9BB0A5"/>
        <w:sz w:val="16"/>
        <w:szCs w:val="16"/>
      </w:rPr>
      <w:fldChar w:fldCharType="begin"/>
    </w:r>
    <w:r>
      <w:rPr>
        <w:color w:val="9BB0A5"/>
        <w:sz w:val="16"/>
        <w:szCs w:val="16"/>
      </w:rPr>
      <w:instrText>PAGE</w:instrText>
    </w:r>
    <w:r>
      <w:rPr>
        <w:color w:val="9BB0A5"/>
        <w:sz w:val="16"/>
        <w:szCs w:val="16"/>
      </w:rPr>
      <w:fldChar w:fldCharType="separate"/>
    </w:r>
    <w:r w:rsidR="00BE0461">
      <w:rPr>
        <w:noProof/>
        <w:color w:val="9BB0A5"/>
        <w:sz w:val="16"/>
        <w:szCs w:val="16"/>
      </w:rPr>
      <w:t>1</w:t>
    </w:r>
    <w:r>
      <w:rPr>
        <w:color w:val="9BB0A5"/>
        <w:sz w:val="16"/>
        <w:szCs w:val="16"/>
      </w:rPr>
      <w:fldChar w:fldCharType="end"/>
    </w:r>
    <w:r>
      <w:rPr>
        <w:color w:val="9BB0A5"/>
        <w:sz w:val="16"/>
        <w:szCs w:val="16"/>
      </w:rPr>
      <w:t xml:space="preserve"> von </w:t>
    </w:r>
    <w:r>
      <w:rPr>
        <w:color w:val="9BB0A5"/>
        <w:sz w:val="16"/>
        <w:szCs w:val="16"/>
      </w:rPr>
      <w:fldChar w:fldCharType="begin"/>
    </w:r>
    <w:r>
      <w:rPr>
        <w:color w:val="9BB0A5"/>
        <w:sz w:val="16"/>
        <w:szCs w:val="16"/>
      </w:rPr>
      <w:instrText>NUMPAGES</w:instrText>
    </w:r>
    <w:r>
      <w:rPr>
        <w:color w:val="9BB0A5"/>
        <w:sz w:val="16"/>
        <w:szCs w:val="16"/>
      </w:rPr>
      <w:fldChar w:fldCharType="separate"/>
    </w:r>
    <w:r w:rsidR="00BE0461">
      <w:rPr>
        <w:noProof/>
        <w:color w:val="9BB0A5"/>
        <w:sz w:val="16"/>
        <w:szCs w:val="16"/>
      </w:rPr>
      <w:t>2</w:t>
    </w:r>
    <w:r>
      <w:rPr>
        <w:color w:val="9BB0A5"/>
        <w:sz w:val="16"/>
        <w:szCs w:val="16"/>
      </w:rPr>
      <w:fldChar w:fldCharType="end"/>
    </w:r>
    <w:r>
      <w:rPr>
        <w:noProof/>
      </w:rPr>
      <w:drawing>
        <wp:anchor distT="114300" distB="114300" distL="114300" distR="114300" simplePos="0" relativeHeight="251658240" behindDoc="0" locked="0" layoutInCell="1" hidden="0" allowOverlap="1" wp14:anchorId="5329A56D" wp14:editId="7FBC1D36">
          <wp:simplePos x="0" y="0"/>
          <wp:positionH relativeFrom="column">
            <wp:posOffset>3816675</wp:posOffset>
          </wp:positionH>
          <wp:positionV relativeFrom="paragraph">
            <wp:posOffset>-142869</wp:posOffset>
          </wp:positionV>
          <wp:extent cx="1911975" cy="381600"/>
          <wp:effectExtent l="0" t="0" r="0" b="0"/>
          <wp:wrapNone/>
          <wp:docPr id="9"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911975" cy="381600"/>
                  </a:xfrm>
                  <a:prstGeom prst="rect">
                    <a:avLst/>
                  </a:prstGeom>
                  <a:ln/>
                </pic:spPr>
              </pic:pic>
            </a:graphicData>
          </a:graphic>
        </wp:anchor>
      </w:drawing>
    </w:r>
  </w:p>
  <w:p w14:paraId="1903D409" w14:textId="77777777" w:rsidR="00537D90" w:rsidRDefault="00537D90">
    <w:pPr>
      <w:rPr>
        <w:color w:val="9BB0A5"/>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7D90"/>
    <w:rsid w:val="000B7816"/>
    <w:rsid w:val="001F15DB"/>
    <w:rsid w:val="002210CB"/>
    <w:rsid w:val="00417ED4"/>
    <w:rsid w:val="00537D90"/>
    <w:rsid w:val="005F7C54"/>
    <w:rsid w:val="00766296"/>
    <w:rsid w:val="007F4A75"/>
    <w:rsid w:val="00B173CA"/>
    <w:rsid w:val="00B73485"/>
    <w:rsid w:val="00BE0461"/>
    <w:rsid w:val="00DC3332"/>
    <w:rsid w:val="00EE6DF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3CF708"/>
  <w15:docId w15:val="{BF65D5EE-D60C-FB4F-A575-564292AE8F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Source Sans 3" w:eastAsia="Source Sans 3" w:hAnsi="Source Sans 3" w:cs="Source Sans 3"/>
        <w:sz w:val="22"/>
        <w:szCs w:val="22"/>
        <w:lang w:val="de"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00" w:after="120"/>
      <w:outlineLvl w:val="0"/>
    </w:pPr>
    <w:rPr>
      <w:sz w:val="40"/>
      <w:szCs w:val="40"/>
    </w:rPr>
  </w:style>
  <w:style w:type="paragraph" w:styleId="berschrift2">
    <w:name w:val="heading 2"/>
    <w:basedOn w:val="Standard"/>
    <w:next w:val="Standard"/>
    <w:uiPriority w:val="9"/>
    <w:unhideWhenUsed/>
    <w:qFormat/>
    <w:pPr>
      <w:keepNext/>
      <w:keepLines/>
      <w:spacing w:before="360" w:after="120"/>
      <w:outlineLvl w:val="1"/>
    </w:pPr>
    <w:rPr>
      <w:sz w:val="32"/>
      <w:szCs w:val="32"/>
    </w:rPr>
  </w:style>
  <w:style w:type="paragraph" w:styleId="berschrift3">
    <w:name w:val="heading 3"/>
    <w:basedOn w:val="Standard"/>
    <w:next w:val="Standard"/>
    <w:uiPriority w:val="9"/>
    <w:unhideWhenUsed/>
    <w:qFormat/>
    <w:pPr>
      <w:keepNext/>
      <w:keepLines/>
      <w:spacing w:before="320" w:after="80"/>
      <w:outlineLvl w:val="2"/>
    </w:pPr>
    <w:rPr>
      <w:sz w:val="28"/>
      <w:szCs w:val="28"/>
    </w:rPr>
  </w:style>
  <w:style w:type="paragraph" w:styleId="berschrift4">
    <w:name w:val="heading 4"/>
    <w:basedOn w:val="Standard"/>
    <w:next w:val="Standard"/>
    <w:uiPriority w:val="9"/>
    <w:semiHidden/>
    <w:unhideWhenUsed/>
    <w:qFormat/>
    <w:pPr>
      <w:keepNext/>
      <w:keepLines/>
      <w:outlineLvl w:val="3"/>
    </w:pPr>
    <w:rPr>
      <w:rFonts w:ascii="Source Sans 3 Medium" w:eastAsia="Source Sans 3 Medium" w:hAnsi="Source Sans 3 Medium" w:cs="Source Sans 3 Medium"/>
    </w:rPr>
  </w:style>
  <w:style w:type="paragraph" w:styleId="berschrift5">
    <w:name w:val="heading 5"/>
    <w:basedOn w:val="Standard"/>
    <w:next w:val="Standard"/>
    <w:uiPriority w:val="9"/>
    <w:semiHidden/>
    <w:unhideWhenUsed/>
    <w:qFormat/>
    <w:pPr>
      <w:keepNext/>
      <w:keepLines/>
      <w:spacing w:before="240" w:after="80"/>
      <w:outlineLvl w:val="4"/>
    </w:pPr>
    <w:rPr>
      <w:color w:val="666666"/>
    </w:rPr>
  </w:style>
  <w:style w:type="paragraph" w:styleId="berschrift6">
    <w:name w:val="heading 6"/>
    <w:basedOn w:val="Standard"/>
    <w:next w:val="Standard"/>
    <w:uiPriority w:val="9"/>
    <w:semiHidden/>
    <w:unhideWhenUsed/>
    <w:qFormat/>
    <w:pPr>
      <w:keepNext/>
      <w:keepLines/>
      <w:spacing w:before="240" w:after="80"/>
      <w:outlineLvl w:val="5"/>
    </w:pPr>
    <w:rPr>
      <w:i/>
      <w:color w:val="66666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uiPriority w:val="10"/>
    <w:qFormat/>
    <w:pPr>
      <w:keepNext/>
      <w:keepLines/>
      <w:spacing w:after="60"/>
    </w:pPr>
    <w:rPr>
      <w:sz w:val="52"/>
      <w:szCs w:val="52"/>
    </w:rPr>
  </w:style>
  <w:style w:type="paragraph" w:styleId="Untertitel">
    <w:name w:val="Subtitle"/>
    <w:basedOn w:val="Standard"/>
    <w:next w:val="Standard"/>
    <w:uiPriority w:val="11"/>
    <w:qFormat/>
    <w:pPr>
      <w:keepNext/>
      <w:keepLines/>
      <w:spacing w:after="320"/>
    </w:pPr>
    <w:rPr>
      <w:rFonts w:ascii="Source Sans 3 ExtraLight" w:eastAsia="Source Sans 3 ExtraLight" w:hAnsi="Source Sans 3 ExtraLight" w:cs="Source Sans 3 ExtraLight"/>
      <w:color w:val="9BB0A5"/>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xange.vc"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green-fusion.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hvcapital.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HEhwVsAtSo9efrwuo0RW6YcbEnQ==">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1022</Words>
  <Characters>6444</Characters>
  <Application>Microsoft Office Word</Application>
  <DocSecurity>0</DocSecurity>
  <Lines>53</Lines>
  <Paragraphs>14</Paragraphs>
  <ScaleCrop>false</ScaleCrop>
  <Company/>
  <LinksUpToDate>false</LinksUpToDate>
  <CharactersWithSpaces>7452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Wenke Bühlmeyer</cp:lastModifiedBy>
  <cp:revision>6</cp:revision>
  <cp:lastPrinted>2025-01-20T11:54:00Z</cp:lastPrinted>
  <dcterms:created xsi:type="dcterms:W3CDTF">2024-03-18T14:59:00Z</dcterms:created>
  <dcterms:modified xsi:type="dcterms:W3CDTF">2025-01-20T11:55:00Z</dcterms:modified>
</cp:coreProperties>
</file>